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黑体" w:hAnsi="黑体" w:eastAsia="黑体"/>
          <w:sz w:val="32"/>
          <w:szCs w:val="32"/>
        </w:rPr>
        <w:t>附件</w:t>
      </w:r>
      <w:r>
        <w:rPr>
          <w:rFonts w:hint="eastAsia" w:ascii="仿宋" w:hAnsi="仿宋" w:eastAsia="仿宋"/>
          <w:sz w:val="32"/>
          <w:szCs w:val="32"/>
        </w:rPr>
        <w:t>：</w:t>
      </w:r>
    </w:p>
    <w:p>
      <w:pPr>
        <w:ind w:firstLine="720" w:firstLineChars="200"/>
        <w:rPr>
          <w:rFonts w:asciiTheme="minorEastAsia" w:hAnsiTheme="minorEastAsia"/>
          <w:sz w:val="36"/>
          <w:szCs w:val="36"/>
        </w:rPr>
      </w:pPr>
      <w:r>
        <w:rPr>
          <w:rFonts w:hint="eastAsia" w:asciiTheme="minorEastAsia" w:hAnsiTheme="minorEastAsia"/>
          <w:sz w:val="36"/>
          <w:szCs w:val="36"/>
        </w:rPr>
        <w:t>中国体育彩票超级大乐透游戏风险控制办法</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为防范中国体育彩票超级大乐透游戏（以下简称超级大乐透）发行销售风险，保障彩票游戏和市场的健康稳定发展，超级大乐透设置单期最大返奖总额, 若当期最大返奖总额不足以支付固定奖奖金，或者不足以补足浮动奖单注最低奖金时，则有关奖级单注奖金相应调整。具体规定如下：</w:t>
      </w:r>
    </w:p>
    <w:p>
      <w:pPr>
        <w:ind w:firstLine="640" w:firstLineChars="200"/>
        <w:rPr>
          <w:rFonts w:ascii="黑体" w:hAnsi="黑体" w:eastAsia="黑体"/>
          <w:sz w:val="32"/>
          <w:szCs w:val="32"/>
        </w:rPr>
      </w:pPr>
      <w:r>
        <w:rPr>
          <w:rFonts w:hint="eastAsia" w:ascii="黑体" w:hAnsi="黑体" w:eastAsia="黑体"/>
          <w:sz w:val="32"/>
          <w:szCs w:val="32"/>
        </w:rPr>
        <w:t>一、单期最大垫支金额</w:t>
      </w:r>
    </w:p>
    <w:p>
      <w:pPr>
        <w:ind w:firstLine="640" w:firstLineChars="200"/>
        <w:rPr>
          <w:rFonts w:ascii="仿宋" w:hAnsi="仿宋" w:eastAsia="仿宋"/>
          <w:sz w:val="32"/>
          <w:szCs w:val="32"/>
        </w:rPr>
      </w:pPr>
      <w:r>
        <w:rPr>
          <w:rFonts w:hint="eastAsia" w:ascii="仿宋" w:hAnsi="仿宋" w:eastAsia="仿宋"/>
          <w:sz w:val="32"/>
          <w:szCs w:val="32"/>
        </w:rPr>
        <w:t>当使用彩票兑奖周转金支付固定奖奖金，或者补足浮动奖单注最低奖金时，单期彩票兑奖周转金最大垫支金额为当期销量的200%。</w:t>
      </w:r>
    </w:p>
    <w:p>
      <w:pPr>
        <w:ind w:firstLine="640" w:firstLineChars="200"/>
        <w:rPr>
          <w:rFonts w:ascii="仿宋" w:hAnsi="仿宋" w:eastAsia="仿宋"/>
          <w:sz w:val="32"/>
          <w:szCs w:val="32"/>
        </w:rPr>
      </w:pPr>
      <w:r>
        <w:rPr>
          <w:rFonts w:hint="eastAsia" w:ascii="仿宋" w:hAnsi="仿宋" w:eastAsia="仿宋"/>
          <w:sz w:val="32"/>
          <w:szCs w:val="32"/>
        </w:rPr>
        <w:t>其中，彩票兑奖周转金用于支付固定奖奖金的单期最大垫支金额为当期销量的100%，彩票兑奖周转金用于补足浮动奖单注最低奖金的单期最大垫支金额为当期销量的100%。</w:t>
      </w:r>
    </w:p>
    <w:p>
      <w:pPr>
        <w:ind w:firstLine="640" w:firstLineChars="200"/>
        <w:rPr>
          <w:rFonts w:ascii="黑体" w:hAnsi="黑体" w:eastAsia="黑体"/>
          <w:sz w:val="32"/>
          <w:szCs w:val="32"/>
        </w:rPr>
      </w:pPr>
      <w:r>
        <w:rPr>
          <w:rFonts w:hint="eastAsia" w:ascii="黑体" w:hAnsi="黑体" w:eastAsia="黑体"/>
          <w:sz w:val="32"/>
          <w:szCs w:val="32"/>
        </w:rPr>
        <w:t>二、固定奖奖金计算</w:t>
      </w:r>
    </w:p>
    <w:p>
      <w:pPr>
        <w:ind w:firstLine="640" w:firstLineChars="200"/>
        <w:rPr>
          <w:rFonts w:ascii="仿宋" w:hAnsi="仿宋" w:eastAsia="仿宋"/>
          <w:sz w:val="32"/>
          <w:szCs w:val="32"/>
        </w:rPr>
      </w:pPr>
      <w:r>
        <w:rPr>
          <w:rFonts w:hint="eastAsia" w:ascii="仿宋" w:hAnsi="仿宋" w:eastAsia="仿宋"/>
          <w:sz w:val="32"/>
          <w:szCs w:val="32"/>
        </w:rPr>
        <w:t>若当期支付固定奖总额所需的彩票兑奖周转金垫支金额超过当期销量的100%时，则：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当期固定奖最大返奖总额＝当期奖金额＋上期开奖后调节基金余额＋当期调节基金计提金额＋彩票兑奖周转金垫支金额（即当期销量的100%）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当期固定奖最大返奖总额将优先支付低奖级奖金，即先支付九等奖奖金，再支付八等奖奖金，以此类推，最后支付三等奖奖金。</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扣除四至九等奖奖金后，剩余奖金由三等奖按注均分。若固定奖最大返奖总额扣除五至九等奖奖金后，剩余奖金不足以支付四等奖奖金，则剩余奖金由三等奖、四等奖共同按注均分，以此类推。</w:t>
      </w:r>
    </w:p>
    <w:p>
      <w:pPr>
        <w:ind w:firstLine="640" w:firstLineChars="200"/>
        <w:rPr>
          <w:rFonts w:ascii="仿宋" w:hAnsi="仿宋" w:eastAsia="仿宋"/>
          <w:sz w:val="32"/>
          <w:szCs w:val="32"/>
        </w:rPr>
      </w:pPr>
      <w:r>
        <w:rPr>
          <w:rFonts w:hint="eastAsia" w:ascii="仿宋" w:hAnsi="仿宋" w:eastAsia="仿宋"/>
          <w:sz w:val="32"/>
          <w:szCs w:val="32"/>
        </w:rPr>
        <w:t>若当期固定奖最大返奖总额扣除四至九等奖奖金且由三等奖按注均分后，三等奖单注奖金低于四等奖单注奖金，则三等奖总奖金与四等奖总奖金合并，由三等奖、四等奖共同按注均分。若三等奖、四等奖单注奖金低于五等奖单注奖金，则三等奖、四等奖、五等奖的总奖金合并，由三等奖、四等奖、五等奖按注均分，以此类推。</w:t>
      </w:r>
    </w:p>
    <w:p>
      <w:pPr>
        <w:ind w:firstLine="640" w:firstLineChars="200"/>
        <w:rPr>
          <w:rFonts w:ascii="仿宋" w:hAnsi="仿宋" w:eastAsia="仿宋"/>
          <w:sz w:val="32"/>
          <w:szCs w:val="32"/>
        </w:rPr>
      </w:pPr>
      <w:r>
        <w:rPr>
          <w:rFonts w:hint="eastAsia" w:ascii="仿宋" w:hAnsi="仿宋" w:eastAsia="仿宋"/>
          <w:sz w:val="32"/>
          <w:szCs w:val="32"/>
        </w:rPr>
        <w:t>固定奖单注奖金按元向下取整后的余额，按游戏规则规定计入调节基金。</w:t>
      </w:r>
    </w:p>
    <w:p>
      <w:pPr>
        <w:ind w:firstLine="640" w:firstLineChars="200"/>
        <w:rPr>
          <w:rFonts w:ascii="黑体" w:hAnsi="黑体" w:eastAsia="黑体"/>
          <w:sz w:val="32"/>
          <w:szCs w:val="32"/>
        </w:rPr>
      </w:pPr>
      <w:r>
        <w:rPr>
          <w:rFonts w:hint="eastAsia" w:ascii="黑体" w:hAnsi="黑体" w:eastAsia="黑体"/>
          <w:sz w:val="32"/>
          <w:szCs w:val="32"/>
        </w:rPr>
        <w:t>三、浮动奖奖金计算</w:t>
      </w:r>
    </w:p>
    <w:p>
      <w:pPr>
        <w:ind w:firstLine="480" w:firstLineChars="150"/>
        <w:rPr>
          <w:rFonts w:ascii="楷体" w:hAnsi="楷体" w:eastAsia="楷体"/>
          <w:sz w:val="32"/>
          <w:szCs w:val="32"/>
        </w:rPr>
      </w:pPr>
      <w:r>
        <w:rPr>
          <w:rFonts w:hint="eastAsia" w:ascii="楷体" w:hAnsi="楷体" w:eastAsia="楷体"/>
          <w:sz w:val="32"/>
          <w:szCs w:val="32"/>
        </w:rPr>
        <w:t>（一）仅一等奖触发保底或一等奖和二等奖均触发保底</w:t>
      </w:r>
    </w:p>
    <w:p>
      <w:pPr>
        <w:ind w:firstLine="640" w:firstLineChars="200"/>
        <w:rPr>
          <w:rFonts w:ascii="仿宋" w:hAnsi="仿宋" w:eastAsia="仿宋"/>
          <w:sz w:val="32"/>
          <w:szCs w:val="32"/>
        </w:rPr>
      </w:pPr>
      <w:r>
        <w:rPr>
          <w:rFonts w:hint="eastAsia" w:ascii="仿宋" w:hAnsi="仿宋" w:eastAsia="仿宋"/>
          <w:sz w:val="32"/>
          <w:szCs w:val="32"/>
        </w:rPr>
        <w:t>若当期补足一等奖单注最低奖金，或者补足一等奖、二等奖单注最低奖金所需的彩票兑奖周转金超过当期销量的100%时，则：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当期奖金额中浮动奖分配部分＋上期开奖后奖池资金余额＋上期开奖后调节基金余额＋当期调节基金计提金额－当期固定奖分配时使用的调节基金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当期浮动奖最大返奖总额由一等奖、二等奖以单注奖金7.5:1的比例按中奖注数进行重新分配。若二等奖基本投注单注奖金为B，一等奖基本投注单注奖金为A=7.5B，计算公式如下：</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当期浮动奖最大返奖总额＝（一等奖基本投注中奖注数＋一等奖追加投注中奖注数×80%）×A＋（二等奖基本投注中奖注数＋二等奖追加投注中奖注数×80%）×B</w:t>
      </w:r>
    </w:p>
    <w:p>
      <w:pPr>
        <w:ind w:firstLine="480" w:firstLineChars="150"/>
        <w:rPr>
          <w:rFonts w:ascii="黑体" w:hAnsi="黑体" w:eastAsia="黑体"/>
          <w:sz w:val="32"/>
          <w:szCs w:val="32"/>
        </w:rPr>
      </w:pPr>
      <w:r>
        <w:rPr>
          <w:rFonts w:hint="eastAsia" w:ascii="黑体" w:hAnsi="黑体" w:eastAsia="黑体"/>
          <w:sz w:val="32"/>
          <w:szCs w:val="32"/>
        </w:rPr>
        <w:t>（二）仅二等奖触发保底</w:t>
      </w:r>
    </w:p>
    <w:p>
      <w:pPr>
        <w:ind w:firstLine="640" w:firstLineChars="200"/>
        <w:rPr>
          <w:rFonts w:ascii="仿宋" w:hAnsi="仿宋" w:eastAsia="仿宋"/>
          <w:sz w:val="32"/>
          <w:szCs w:val="32"/>
        </w:rPr>
      </w:pPr>
      <w:r>
        <w:rPr>
          <w:rFonts w:hint="eastAsia" w:ascii="仿宋" w:hAnsi="仿宋" w:eastAsia="仿宋"/>
          <w:sz w:val="32"/>
          <w:szCs w:val="32"/>
        </w:rPr>
        <w:t>若当期仅需补足二等奖单注最低奖金，且所需的彩票兑奖周转金超过当期销量的100%时，则：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当期二等奖最大返奖总额＝当期奖金额中二等奖分配部分＋上期开奖后调节基金余额＋当期调节基金计提金额－当期固定奖分配时使用的调节基金金额＋彩票兑奖周转金垫支金额（即当期销量的100%）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二等奖最大返奖总额由二等奖按注均分。若二等奖基本投注单注奖金为B，计算公式如下：</w:t>
      </w:r>
    </w:p>
    <w:p>
      <w:pPr>
        <w:rPr>
          <w:rFonts w:ascii="仿宋" w:hAnsi="仿宋" w:eastAsia="仿宋"/>
          <w:sz w:val="32"/>
          <w:szCs w:val="32"/>
        </w:rPr>
      </w:pPr>
      <w:r>
        <w:rPr>
          <w:rFonts w:hint="eastAsia" w:ascii="仿宋" w:hAnsi="仿宋" w:eastAsia="仿宋"/>
          <w:sz w:val="32"/>
          <w:szCs w:val="32"/>
        </w:rPr>
        <w:t>二等奖最大返奖总额＝（二等奖基本投注中奖注数＋二等奖追加投注中奖注数×80%）×B</w:t>
      </w:r>
    </w:p>
    <w:p>
      <w:pPr>
        <w:ind w:firstLine="640" w:firstLineChars="200"/>
        <w:rPr>
          <w:rFonts w:ascii="仿宋" w:hAnsi="仿宋" w:eastAsia="仿宋"/>
          <w:sz w:val="32"/>
          <w:szCs w:val="32"/>
        </w:rPr>
      </w:pPr>
      <w:r>
        <w:rPr>
          <w:rFonts w:hint="eastAsia" w:ascii="仿宋" w:hAnsi="仿宋" w:eastAsia="仿宋"/>
          <w:sz w:val="32"/>
          <w:szCs w:val="32"/>
        </w:rPr>
        <w:t>浮动奖单注奖金按元向下取整后的余额，按游戏规则规定计入调节基金。</w:t>
      </w:r>
    </w:p>
    <w:p>
      <w:pPr>
        <w:rPr>
          <w:rFonts w:ascii="仿宋" w:hAnsi="仿宋" w:eastAsia="仿宋"/>
          <w:sz w:val="32"/>
          <w:szCs w:val="32"/>
        </w:rPr>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DA"/>
    <w:rsid w:val="000308A5"/>
    <w:rsid w:val="00212692"/>
    <w:rsid w:val="00316B5C"/>
    <w:rsid w:val="005742E8"/>
    <w:rsid w:val="005E558B"/>
    <w:rsid w:val="006235CD"/>
    <w:rsid w:val="007539EF"/>
    <w:rsid w:val="007E4EEB"/>
    <w:rsid w:val="0087739D"/>
    <w:rsid w:val="0094597A"/>
    <w:rsid w:val="00A36269"/>
    <w:rsid w:val="00B256EA"/>
    <w:rsid w:val="00BB74CA"/>
    <w:rsid w:val="00C53ADD"/>
    <w:rsid w:val="00D24EC4"/>
    <w:rsid w:val="00D73E4D"/>
    <w:rsid w:val="00DF1371"/>
    <w:rsid w:val="00E36CDA"/>
    <w:rsid w:val="00E8082B"/>
    <w:rsid w:val="00F77C6C"/>
    <w:rsid w:val="00F927F0"/>
    <w:rsid w:val="00FE1978"/>
    <w:rsid w:val="3BBB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sz w:val="18"/>
      <w:szCs w:val="18"/>
    </w:r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244</Words>
  <Characters>1395</Characters>
  <Lines>11</Lines>
  <Paragraphs>3</Paragraphs>
  <TotalTime>35</TotalTime>
  <ScaleCrop>false</ScaleCrop>
  <LinksUpToDate>false</LinksUpToDate>
  <CharactersWithSpaces>1636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2019-01-21T07:37:00Z</dcterms:created>
  <dc:creator>张涛</dc:creator>
  <cp:lastModifiedBy>陈娟</cp:lastModifiedBy>
  <dcterms:modified xsi:type="dcterms:W3CDTF">2019-02-01T08:06:26Z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