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left"/>
        <w:rPr>
          <w:rFonts w:hint="eastAsia" w:ascii="微软雅黑" w:hAnsi="微软雅黑" w:eastAsia="微软雅黑"/>
          <w:b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sz w:val="22"/>
          <w:szCs w:val="22"/>
          <w:lang w:val="en-US" w:eastAsia="zh-CN"/>
        </w:rPr>
        <w:t>附件一：</w:t>
      </w:r>
    </w:p>
    <w:p>
      <w:pPr>
        <w:adjustRightInd w:val="0"/>
        <w:snapToGrid w:val="0"/>
        <w:spacing w:line="276" w:lineRule="auto"/>
        <w:jc w:val="center"/>
        <w:rPr>
          <w:rFonts w:hint="default" w:ascii="微软雅黑" w:hAnsi="微软雅黑" w:eastAsia="微软雅黑"/>
          <w:b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36"/>
          <w:szCs w:val="36"/>
        </w:rPr>
        <w:t>《</w:t>
      </w:r>
      <w:bookmarkStart w:id="0" w:name="_GoBack"/>
      <w:r>
        <w:rPr>
          <w:rFonts w:hint="eastAsia" w:ascii="微软雅黑" w:hAnsi="微软雅黑" w:eastAsia="微软雅黑"/>
          <w:sz w:val="36"/>
          <w:szCs w:val="36"/>
        </w:rPr>
        <w:t>海南省体育彩票</w:t>
      </w:r>
      <w:r>
        <w:rPr>
          <w:rFonts w:ascii="微软雅黑" w:hAnsi="微软雅黑" w:eastAsia="微软雅黑"/>
          <w:sz w:val="36"/>
          <w:szCs w:val="36"/>
        </w:rPr>
        <w:t>201</w:t>
      </w: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/>
          <w:sz w:val="36"/>
          <w:szCs w:val="36"/>
        </w:rPr>
        <w:t>年社会责任报告</w:t>
      </w:r>
      <w:bookmarkEnd w:id="0"/>
      <w:r>
        <w:rPr>
          <w:rFonts w:hint="eastAsia" w:ascii="微软雅黑" w:hAnsi="微软雅黑" w:eastAsia="微软雅黑"/>
          <w:sz w:val="36"/>
          <w:szCs w:val="36"/>
        </w:rPr>
        <w:t>》服务</w:t>
      </w: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内容以及编写要求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b/>
          <w:sz w:val="22"/>
          <w:szCs w:val="22"/>
        </w:rPr>
      </w:pP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sz w:val="22"/>
          <w:szCs w:val="22"/>
          <w:lang w:val="en-US" w:eastAsia="zh-CN"/>
        </w:rPr>
        <w:t>一、</w:t>
      </w:r>
      <w:r>
        <w:rPr>
          <w:rFonts w:hint="eastAsia" w:ascii="微软雅黑" w:hAnsi="微软雅黑" w:eastAsia="微软雅黑"/>
          <w:b/>
          <w:bCs/>
          <w:sz w:val="22"/>
          <w:szCs w:val="22"/>
        </w:rPr>
        <w:t>《海南省体育彩票</w:t>
      </w:r>
      <w:r>
        <w:rPr>
          <w:rFonts w:ascii="微软雅黑" w:hAnsi="微软雅黑" w:eastAsia="微软雅黑"/>
          <w:b/>
          <w:bCs/>
          <w:sz w:val="22"/>
          <w:szCs w:val="22"/>
        </w:rPr>
        <w:t>201</w:t>
      </w:r>
      <w:r>
        <w:rPr>
          <w:rFonts w:hint="eastAsia" w:ascii="微软雅黑" w:hAnsi="微软雅黑" w:eastAsia="微软雅黑"/>
          <w:b/>
          <w:bCs/>
          <w:sz w:val="22"/>
          <w:szCs w:val="22"/>
          <w:lang w:val="en-US" w:eastAsia="zh-CN"/>
        </w:rPr>
        <w:t>8</w:t>
      </w:r>
      <w:r>
        <w:rPr>
          <w:rFonts w:hint="eastAsia" w:ascii="微软雅黑" w:hAnsi="微软雅黑" w:eastAsia="微软雅黑"/>
          <w:b/>
          <w:bCs/>
          <w:sz w:val="22"/>
          <w:szCs w:val="22"/>
        </w:rPr>
        <w:t>年社会责任报告》服务内容</w:t>
      </w:r>
    </w:p>
    <w:p>
      <w:pPr>
        <w:pStyle w:val="2"/>
        <w:tabs>
          <w:tab w:val="left" w:pos="9356"/>
        </w:tabs>
        <w:adjustRightInd w:val="0"/>
        <w:snapToGrid w:val="0"/>
        <w:spacing w:before="22" w:line="276" w:lineRule="auto"/>
        <w:ind w:left="210" w:leftChars="100" w:right="-35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（</w:t>
      </w:r>
      <w:r>
        <w:rPr>
          <w:rFonts w:ascii="微软雅黑" w:hAnsi="微软雅黑" w:eastAsia="微软雅黑" w:cs="微软雅黑"/>
          <w:sz w:val="22"/>
          <w:szCs w:val="22"/>
        </w:rPr>
        <w:t>1</w:t>
      </w:r>
      <w:r>
        <w:rPr>
          <w:rFonts w:hint="eastAsia" w:ascii="微软雅黑" w:hAnsi="微软雅黑" w:eastAsia="微软雅黑" w:cs="微软雅黑"/>
          <w:sz w:val="22"/>
          <w:szCs w:val="22"/>
        </w:rPr>
        <w:t>）以专业、系统的方式撰写完成《海南省体育彩票</w:t>
      </w:r>
      <w:r>
        <w:rPr>
          <w:rFonts w:ascii="微软雅黑" w:hAnsi="微软雅黑" w:eastAsia="微软雅黑" w:cs="微软雅黑"/>
          <w:sz w:val="22"/>
          <w:szCs w:val="22"/>
        </w:rPr>
        <w:t>201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2"/>
          <w:szCs w:val="22"/>
        </w:rPr>
        <w:t>年社会责任报告》，提出社会责任报告的编制目标、思路框架、实施方案，完成前期准备、调研实施、报告撰写工作。</w:t>
      </w:r>
    </w:p>
    <w:p>
      <w:pPr>
        <w:pStyle w:val="2"/>
        <w:adjustRightInd w:val="0"/>
        <w:snapToGrid w:val="0"/>
        <w:spacing w:line="276" w:lineRule="auto"/>
        <w:ind w:left="210" w:leftChars="100" w:right="-35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pacing w:val="-3"/>
          <w:sz w:val="22"/>
          <w:szCs w:val="22"/>
        </w:rPr>
        <w:t>（</w:t>
      </w:r>
      <w:r>
        <w:rPr>
          <w:rFonts w:ascii="微软雅黑" w:hAnsi="微软雅黑" w:eastAsia="微软雅黑" w:cs="微软雅黑"/>
          <w:spacing w:val="-3"/>
          <w:sz w:val="22"/>
          <w:szCs w:val="22"/>
        </w:rPr>
        <w:t>2</w:t>
      </w:r>
      <w:r>
        <w:rPr>
          <w:rFonts w:hint="eastAsia" w:ascii="微软雅黑" w:hAnsi="微软雅黑" w:eastAsia="微软雅黑" w:cs="微软雅黑"/>
          <w:spacing w:val="-3"/>
          <w:sz w:val="22"/>
          <w:szCs w:val="22"/>
        </w:rPr>
        <w:t>）社会责任报告应符合体育彩票发展理念，遵循符合总局中心社会责任报告编写规范要求，结合最新社</w:t>
      </w:r>
      <w:r>
        <w:rPr>
          <w:rFonts w:hint="eastAsia" w:ascii="微软雅黑" w:hAnsi="微软雅黑" w:eastAsia="微软雅黑" w:cs="微软雅黑"/>
          <w:spacing w:val="-8"/>
          <w:sz w:val="22"/>
          <w:szCs w:val="22"/>
        </w:rPr>
        <w:t>会责任理论相结合、与海南省体育彩票战略相结合、与体育彩票文化相结合、与海南省体育彩票业务相结合；报告应体现出海南省体育彩票战略发展规划、体育彩票文化以及海南省体育彩票业务特色。</w:t>
      </w:r>
    </w:p>
    <w:p>
      <w:pPr>
        <w:adjustRightInd w:val="0"/>
        <w:snapToGrid w:val="0"/>
        <w:spacing w:line="276" w:lineRule="auto"/>
        <w:ind w:left="210" w:leftChars="100"/>
        <w:jc w:val="left"/>
        <w:rPr>
          <w:rFonts w:ascii="微软雅黑" w:hAnsi="微软雅黑" w:eastAsia="微软雅黑" w:cs="微软雅黑"/>
          <w:spacing w:val="-8"/>
          <w:sz w:val="22"/>
          <w:szCs w:val="22"/>
        </w:rPr>
      </w:pPr>
      <w:r>
        <w:rPr>
          <w:rFonts w:hint="eastAsia" w:ascii="微软雅黑" w:hAnsi="微软雅黑" w:eastAsia="微软雅黑" w:cs="微软雅黑"/>
          <w:spacing w:val="-3"/>
          <w:sz w:val="22"/>
          <w:szCs w:val="22"/>
        </w:rPr>
        <w:t>（</w:t>
      </w:r>
      <w:r>
        <w:rPr>
          <w:rFonts w:ascii="微软雅黑" w:hAnsi="微软雅黑" w:eastAsia="微软雅黑" w:cs="微软雅黑"/>
          <w:spacing w:val="-3"/>
          <w:sz w:val="22"/>
          <w:szCs w:val="22"/>
        </w:rPr>
        <w:t>3</w:t>
      </w:r>
      <w:r>
        <w:rPr>
          <w:rFonts w:hint="eastAsia" w:ascii="微软雅黑" w:hAnsi="微软雅黑" w:eastAsia="微软雅黑" w:cs="微软雅黑"/>
          <w:spacing w:val="-3"/>
          <w:sz w:val="22"/>
          <w:szCs w:val="22"/>
        </w:rPr>
        <w:t>）报告需要清晰概述海南省体育彩票社会责任理念、展示海南省体育彩票社会责任成绩、以平衡透明的方式披露</w:t>
      </w:r>
      <w:r>
        <w:rPr>
          <w:rFonts w:hint="eastAsia" w:ascii="微软雅黑" w:hAnsi="微软雅黑" w:eastAsia="微软雅黑" w:cs="微软雅黑"/>
          <w:spacing w:val="-6"/>
          <w:sz w:val="22"/>
          <w:szCs w:val="22"/>
        </w:rPr>
        <w:t>海南省体育彩票的社会责任履责实践；在总局中心社会责任报告撰写规范指导下，选择适合</w:t>
      </w:r>
      <w:r>
        <w:rPr>
          <w:rFonts w:hint="eastAsia" w:ascii="微软雅黑" w:hAnsi="微软雅黑" w:eastAsia="微软雅黑" w:cs="微软雅黑"/>
          <w:spacing w:val="-8"/>
          <w:sz w:val="22"/>
          <w:szCs w:val="22"/>
        </w:rPr>
        <w:t>海南省体育彩票社会责任特色展示的报告框架，在梳理海南省体育彩票的主要架构、发展历史和重要事件基础上，聚焦海南省体育彩票责任管理、公益金筹集与使用情况、纳税和就业带动社会效益情况；从</w:t>
      </w:r>
      <w:r>
        <w:rPr>
          <w:rFonts w:hint="eastAsia" w:ascii="微软雅黑" w:hAnsi="微软雅黑" w:eastAsia="微软雅黑" w:cs="微软雅黑"/>
          <w:spacing w:val="-8"/>
          <w:sz w:val="22"/>
          <w:szCs w:val="22"/>
          <w:lang w:val="en-US" w:eastAsia="zh-CN"/>
        </w:rPr>
        <w:t>体彩机构、</w:t>
      </w:r>
      <w:r>
        <w:rPr>
          <w:rFonts w:hint="eastAsia" w:ascii="微软雅黑" w:hAnsi="微软雅黑" w:eastAsia="微软雅黑" w:cs="微软雅黑"/>
          <w:spacing w:val="-8"/>
          <w:sz w:val="22"/>
          <w:szCs w:val="22"/>
        </w:rPr>
        <w:t>代销者、</w:t>
      </w:r>
      <w:r>
        <w:rPr>
          <w:rFonts w:hint="eastAsia" w:ascii="微软雅黑" w:hAnsi="微软雅黑" w:eastAsia="微软雅黑" w:cs="微软雅黑"/>
          <w:spacing w:val="-8"/>
          <w:sz w:val="22"/>
          <w:szCs w:val="22"/>
          <w:lang w:val="en-US" w:eastAsia="zh-CN"/>
        </w:rPr>
        <w:t>购彩者</w:t>
      </w:r>
      <w:r>
        <w:rPr>
          <w:rFonts w:hint="eastAsia" w:ascii="微软雅黑" w:hAnsi="微软雅黑" w:eastAsia="微软雅黑" w:cs="微软雅黑"/>
          <w:spacing w:val="-8"/>
          <w:sz w:val="22"/>
          <w:szCs w:val="22"/>
        </w:rPr>
        <w:t>、社会公众、社会宣传等社会责任重点议题进行剖析，展示</w:t>
      </w:r>
      <w:r>
        <w:rPr>
          <w:rFonts w:hint="eastAsia" w:ascii="微软雅黑" w:hAnsi="微软雅黑" w:eastAsia="微软雅黑" w:cs="微软雅黑"/>
          <w:spacing w:val="-8"/>
          <w:sz w:val="22"/>
          <w:szCs w:val="22"/>
          <w:lang w:val="en-US" w:eastAsia="zh-CN"/>
        </w:rPr>
        <w:t>海南体彩</w:t>
      </w:r>
      <w:r>
        <w:rPr>
          <w:rFonts w:ascii="微软雅黑" w:hAnsi="微软雅黑" w:eastAsia="微软雅黑" w:cs="微软雅黑"/>
          <w:spacing w:val="-8"/>
          <w:sz w:val="22"/>
          <w:szCs w:val="22"/>
        </w:rPr>
        <w:t>201</w:t>
      </w:r>
      <w:r>
        <w:rPr>
          <w:rFonts w:hint="eastAsia" w:ascii="微软雅黑" w:hAnsi="微软雅黑" w:eastAsia="微软雅黑" w:cs="微软雅黑"/>
          <w:spacing w:val="-8"/>
          <w:sz w:val="22"/>
          <w:szCs w:val="2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pacing w:val="-8"/>
          <w:sz w:val="22"/>
          <w:szCs w:val="22"/>
        </w:rPr>
        <w:t>年所履行的社会责任，展现海南省体育彩票对体育事业和社会公益事业的贡献。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 w:cs="微软雅黑"/>
          <w:spacing w:val="-5"/>
          <w:sz w:val="22"/>
          <w:szCs w:val="22"/>
        </w:rPr>
      </w:pP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pacing w:val="-5"/>
          <w:sz w:val="22"/>
          <w:szCs w:val="22"/>
          <w:lang w:val="en-US" w:eastAsia="zh-CN"/>
        </w:rPr>
        <w:t>二、</w:t>
      </w:r>
      <w:r>
        <w:rPr>
          <w:rFonts w:ascii="微软雅黑" w:hAnsi="微软雅黑" w:eastAsia="微软雅黑" w:cs="微软雅黑"/>
          <w:b/>
          <w:bCs/>
          <w:spacing w:val="-5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b/>
          <w:bCs/>
          <w:sz w:val="22"/>
          <w:szCs w:val="22"/>
        </w:rPr>
        <w:t>报告发布要求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完成报告印刷稿设计、报告宣传</w:t>
      </w:r>
      <w:r>
        <w:rPr>
          <w:rFonts w:ascii="微软雅黑" w:hAnsi="微软雅黑" w:eastAsia="微软雅黑"/>
          <w:sz w:val="22"/>
          <w:szCs w:val="22"/>
        </w:rPr>
        <w:t>H5S</w:t>
      </w:r>
      <w:r>
        <w:rPr>
          <w:rFonts w:hint="eastAsia" w:ascii="微软雅黑" w:hAnsi="微软雅黑" w:eastAsia="微软雅黑"/>
          <w:sz w:val="22"/>
          <w:szCs w:val="22"/>
        </w:rPr>
        <w:t>设计、并制定报告发布方案。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sz w:val="22"/>
          <w:szCs w:val="22"/>
        </w:rPr>
      </w:pP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sz w:val="22"/>
          <w:szCs w:val="22"/>
          <w:lang w:val="en-US" w:eastAsia="zh-CN"/>
        </w:rPr>
        <w:t>三、</w:t>
      </w:r>
      <w:r>
        <w:rPr>
          <w:rFonts w:hint="eastAsia" w:ascii="微软雅黑" w:hAnsi="微软雅黑" w:eastAsia="微软雅黑"/>
          <w:b/>
          <w:bCs/>
          <w:sz w:val="22"/>
          <w:szCs w:val="22"/>
        </w:rPr>
        <w:t>服务要求</w:t>
      </w:r>
    </w:p>
    <w:p>
      <w:pPr>
        <w:pStyle w:val="2"/>
        <w:adjustRightInd w:val="0"/>
        <w:snapToGrid w:val="0"/>
        <w:spacing w:before="19" w:line="276" w:lineRule="auto"/>
        <w:ind w:left="0" w:right="-35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（</w:t>
      </w:r>
      <w:r>
        <w:rPr>
          <w:rFonts w:ascii="微软雅黑" w:hAnsi="微软雅黑" w:eastAsia="微软雅黑" w:cs="微软雅黑"/>
          <w:sz w:val="22"/>
          <w:szCs w:val="22"/>
        </w:rPr>
        <w:t>1</w:t>
      </w:r>
      <w:r>
        <w:rPr>
          <w:rFonts w:hint="eastAsia" w:ascii="微软雅黑" w:hAnsi="微软雅黑" w:eastAsia="微软雅黑" w:cs="微软雅黑"/>
          <w:sz w:val="22"/>
          <w:szCs w:val="22"/>
        </w:rPr>
        <w:t>）在报告编制的前期阶段，要明确编制社会责任、报告的目标，并进行整体上的时间规划，制定详细的工作计划，确定每一阶段的工作任务。</w:t>
      </w:r>
    </w:p>
    <w:p>
      <w:pPr>
        <w:pStyle w:val="2"/>
        <w:adjustRightInd w:val="0"/>
        <w:snapToGrid w:val="0"/>
        <w:spacing w:line="276" w:lineRule="auto"/>
        <w:ind w:left="0" w:right="-35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（</w:t>
      </w:r>
      <w:r>
        <w:rPr>
          <w:rFonts w:ascii="微软雅黑" w:hAnsi="微软雅黑" w:eastAsia="微软雅黑" w:cs="微软雅黑"/>
          <w:sz w:val="22"/>
          <w:szCs w:val="22"/>
        </w:rPr>
        <w:t>2</w:t>
      </w:r>
      <w:r>
        <w:rPr>
          <w:rFonts w:hint="eastAsia" w:ascii="微软雅黑" w:hAnsi="微软雅黑" w:eastAsia="微软雅黑" w:cs="微软雅黑"/>
          <w:sz w:val="22"/>
          <w:szCs w:val="22"/>
        </w:rPr>
        <w:t>）深入全面、客观真实的开展调研工作，收集编制报告所需要的资源，系统完成访谈工作，</w:t>
      </w:r>
      <w:r>
        <w:rPr>
          <w:rFonts w:hint="eastAsia" w:ascii="微软雅黑" w:hAnsi="微软雅黑" w:eastAsia="微软雅黑" w:cs="微软雅黑"/>
          <w:spacing w:val="-6"/>
          <w:sz w:val="22"/>
          <w:szCs w:val="22"/>
        </w:rPr>
        <w:t>创新使用调研工具，涵盖各部门、各</w:t>
      </w:r>
      <w:r>
        <w:rPr>
          <w:rFonts w:hint="eastAsia" w:ascii="微软雅黑" w:hAnsi="微软雅黑" w:eastAsia="微软雅黑" w:cs="微软雅黑"/>
          <w:spacing w:val="-6"/>
          <w:sz w:val="22"/>
          <w:szCs w:val="22"/>
          <w:lang w:val="en-US" w:eastAsia="zh-CN"/>
        </w:rPr>
        <w:t>分</w:t>
      </w:r>
      <w:r>
        <w:rPr>
          <w:rFonts w:hint="eastAsia" w:ascii="微软雅黑" w:hAnsi="微软雅黑" w:eastAsia="微软雅黑" w:cs="微软雅黑"/>
          <w:spacing w:val="-6"/>
          <w:sz w:val="22"/>
          <w:szCs w:val="22"/>
        </w:rPr>
        <w:t>中心、代销者及各主要利益相关者。</w:t>
      </w:r>
    </w:p>
    <w:p>
      <w:pPr>
        <w:pStyle w:val="2"/>
        <w:adjustRightInd w:val="0"/>
        <w:snapToGrid w:val="0"/>
        <w:spacing w:line="276" w:lineRule="auto"/>
        <w:ind w:left="0" w:right="-35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（</w:t>
      </w:r>
      <w:r>
        <w:rPr>
          <w:rFonts w:ascii="微软雅黑" w:hAnsi="微软雅黑" w:eastAsia="微软雅黑" w:cs="微软雅黑"/>
          <w:sz w:val="22"/>
          <w:szCs w:val="22"/>
        </w:rPr>
        <w:t>3</w:t>
      </w:r>
      <w:r>
        <w:rPr>
          <w:rFonts w:hint="eastAsia" w:ascii="微软雅黑" w:hAnsi="微软雅黑" w:eastAsia="微软雅黑" w:cs="微软雅黑"/>
          <w:sz w:val="22"/>
          <w:szCs w:val="22"/>
        </w:rPr>
        <w:t>）根据报告的基本原则和利益相关方的建议，结合海南省体育彩票实际情况，确定报告的框架和所需</w:t>
      </w:r>
      <w:r>
        <w:rPr>
          <w:rFonts w:hint="eastAsia" w:ascii="微软雅黑" w:hAnsi="微软雅黑" w:eastAsia="微软雅黑" w:cs="微软雅黑"/>
          <w:spacing w:val="-6"/>
          <w:sz w:val="22"/>
          <w:szCs w:val="22"/>
        </w:rPr>
        <w:t>要涵盖的具体内容，保证以报告为基础整合</w:t>
      </w:r>
      <w:r>
        <w:rPr>
          <w:rFonts w:hint="eastAsia" w:ascii="微软雅黑" w:hAnsi="微软雅黑" w:eastAsia="微软雅黑" w:cs="微软雅黑"/>
          <w:spacing w:val="-6"/>
          <w:sz w:val="22"/>
          <w:szCs w:val="22"/>
          <w:lang w:val="en-US" w:eastAsia="zh-CN"/>
        </w:rPr>
        <w:t>海南省体育彩票管理中心</w:t>
      </w:r>
      <w:r>
        <w:rPr>
          <w:rFonts w:hint="eastAsia" w:ascii="微软雅黑" w:hAnsi="微软雅黑" w:eastAsia="微软雅黑" w:cs="微软雅黑"/>
          <w:spacing w:val="-6"/>
          <w:sz w:val="22"/>
          <w:szCs w:val="22"/>
        </w:rPr>
        <w:t>、销售网点、体育彩票</w:t>
      </w:r>
      <w:r>
        <w:rPr>
          <w:rFonts w:hint="eastAsia" w:ascii="微软雅黑" w:hAnsi="微软雅黑" w:eastAsia="微软雅黑" w:cs="微软雅黑"/>
          <w:spacing w:val="-6"/>
          <w:sz w:val="22"/>
          <w:szCs w:val="22"/>
          <w:lang w:val="en-US" w:eastAsia="zh-CN"/>
        </w:rPr>
        <w:t>购彩者</w:t>
      </w:r>
      <w:r>
        <w:rPr>
          <w:rFonts w:hint="eastAsia" w:ascii="微软雅黑" w:hAnsi="微软雅黑" w:eastAsia="微软雅黑" w:cs="微软雅黑"/>
          <w:spacing w:val="-6"/>
          <w:sz w:val="22"/>
          <w:szCs w:val="22"/>
        </w:rPr>
        <w:t>、社会公众等各利益相关者的社会责任工作信息资源。</w:t>
      </w:r>
    </w:p>
    <w:p>
      <w:pPr>
        <w:pStyle w:val="2"/>
        <w:adjustRightInd w:val="0"/>
        <w:snapToGrid w:val="0"/>
        <w:spacing w:line="276" w:lineRule="auto"/>
        <w:ind w:left="0" w:right="-34" w:rightChars="-16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（</w:t>
      </w:r>
      <w:r>
        <w:rPr>
          <w:rFonts w:ascii="微软雅黑" w:hAnsi="微软雅黑" w:eastAsia="微软雅黑" w:cs="微软雅黑"/>
          <w:sz w:val="22"/>
          <w:szCs w:val="22"/>
        </w:rPr>
        <w:t>4</w:t>
      </w:r>
      <w:r>
        <w:rPr>
          <w:rFonts w:hint="eastAsia" w:ascii="微软雅黑" w:hAnsi="微软雅黑" w:eastAsia="微软雅黑" w:cs="微软雅黑"/>
          <w:sz w:val="22"/>
          <w:szCs w:val="22"/>
        </w:rPr>
        <w:t>）在撰写阶段，报告编制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人员</w:t>
      </w:r>
      <w:r>
        <w:rPr>
          <w:rFonts w:hint="eastAsia" w:ascii="微软雅黑" w:hAnsi="微软雅黑" w:eastAsia="微软雅黑" w:cs="微软雅黑"/>
          <w:sz w:val="22"/>
          <w:szCs w:val="22"/>
        </w:rPr>
        <w:t>通过整理、深加工所收集到的信息，把握海南省体育彩票</w:t>
      </w:r>
      <w:r>
        <w:rPr>
          <w:rFonts w:ascii="微软雅黑" w:hAnsi="微软雅黑" w:eastAsia="微软雅黑" w:cs="微软雅黑"/>
          <w:sz w:val="22"/>
          <w:szCs w:val="22"/>
        </w:rPr>
        <w:t xml:space="preserve"> 201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2"/>
          <w:szCs w:val="22"/>
        </w:rPr>
        <w:t>年度社</w:t>
      </w:r>
      <w:r>
        <w:rPr>
          <w:rFonts w:hint="eastAsia" w:ascii="微软雅黑" w:hAnsi="微软雅黑" w:eastAsia="微软雅黑" w:cs="微软雅黑"/>
          <w:spacing w:val="1"/>
          <w:sz w:val="22"/>
          <w:szCs w:val="22"/>
        </w:rPr>
        <w:t>会责任的核心要点，报告内容需涵盖</w:t>
      </w:r>
      <w:r>
        <w:rPr>
          <w:rFonts w:hint="eastAsia" w:ascii="微软雅黑" w:hAnsi="微软雅黑" w:eastAsia="微软雅黑" w:cs="微软雅黑"/>
          <w:sz w:val="22"/>
          <w:szCs w:val="22"/>
        </w:rPr>
        <w:t>海南省体育彩票</w:t>
      </w:r>
      <w:r>
        <w:rPr>
          <w:rFonts w:ascii="微软雅黑" w:hAnsi="微软雅黑" w:eastAsia="微软雅黑" w:cs="微软雅黑"/>
          <w:sz w:val="22"/>
          <w:szCs w:val="22"/>
        </w:rPr>
        <w:t xml:space="preserve"> 201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2"/>
          <w:szCs w:val="22"/>
        </w:rPr>
        <w:t>年的社会责任工作重点、成绩。运用直观、清晰的表达方法形成报告初稿，在初稿完成之后，进行内部评估，倾听各部门的意见，修改、完善报告，最终形成文字定稿。</w:t>
      </w:r>
    </w:p>
    <w:p>
      <w:pPr>
        <w:pStyle w:val="2"/>
        <w:adjustRightInd w:val="0"/>
        <w:snapToGrid w:val="0"/>
        <w:spacing w:line="276" w:lineRule="auto"/>
        <w:ind w:left="0" w:right="-35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（</w:t>
      </w:r>
      <w:r>
        <w:rPr>
          <w:rFonts w:ascii="微软雅黑" w:hAnsi="微软雅黑" w:eastAsia="微软雅黑" w:cs="微软雅黑"/>
          <w:sz w:val="22"/>
          <w:szCs w:val="22"/>
        </w:rPr>
        <w:t>5</w:t>
      </w:r>
      <w:r>
        <w:rPr>
          <w:rFonts w:hint="eastAsia" w:ascii="微软雅黑" w:hAnsi="微软雅黑" w:eastAsia="微软雅黑" w:cs="微软雅黑"/>
          <w:sz w:val="22"/>
          <w:szCs w:val="22"/>
        </w:rPr>
        <w:t>）确保报告内容的可信度，通过独立研究、外部基准对比、行业研讨、利益相关者调研，鉴证报告结果。</w:t>
      </w:r>
    </w:p>
    <w:p>
      <w:pPr>
        <w:pStyle w:val="2"/>
        <w:adjustRightInd w:val="0"/>
        <w:snapToGrid w:val="0"/>
        <w:spacing w:line="276" w:lineRule="auto"/>
        <w:ind w:left="0" w:right="-35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（</w:t>
      </w:r>
      <w:r>
        <w:rPr>
          <w:rFonts w:ascii="微软雅黑" w:hAnsi="微软雅黑" w:eastAsia="微软雅黑" w:cs="微软雅黑"/>
          <w:sz w:val="22"/>
          <w:szCs w:val="22"/>
        </w:rPr>
        <w:t>6</w:t>
      </w:r>
      <w:r>
        <w:rPr>
          <w:rFonts w:hint="eastAsia" w:ascii="微软雅黑" w:hAnsi="微软雅黑" w:eastAsia="微软雅黑" w:cs="微软雅黑"/>
          <w:sz w:val="22"/>
          <w:szCs w:val="22"/>
        </w:rPr>
        <w:t>）报告内容不得少于</w:t>
      </w:r>
      <w:r>
        <w:rPr>
          <w:rFonts w:ascii="微软雅黑" w:hAnsi="微软雅黑" w:eastAsia="微软雅黑" w:cs="微软雅黑"/>
          <w:sz w:val="22"/>
          <w:szCs w:val="22"/>
        </w:rPr>
        <w:t xml:space="preserve"> 5000</w:t>
      </w:r>
      <w:r>
        <w:rPr>
          <w:rFonts w:hint="eastAsia" w:ascii="微软雅黑" w:hAnsi="微软雅黑" w:eastAsia="微软雅黑" w:cs="微软雅黑"/>
          <w:sz w:val="22"/>
          <w:szCs w:val="22"/>
        </w:rPr>
        <w:t>字。报告设计稿需新颖、美观、主旨鲜明，图片和设计需契合报告内容，图片需真实并符合知识产权要求。</w:t>
      </w:r>
    </w:p>
    <w:p>
      <w:pPr>
        <w:pStyle w:val="2"/>
        <w:adjustRightInd w:val="0"/>
        <w:snapToGrid w:val="0"/>
        <w:spacing w:line="276" w:lineRule="auto"/>
        <w:ind w:left="0" w:right="-35"/>
        <w:rPr>
          <w:rFonts w:ascii="微软雅黑" w:hAnsi="微软雅黑" w:eastAsia="微软雅黑" w:cs="微软雅黑"/>
          <w:spacing w:val="-3"/>
          <w:sz w:val="22"/>
          <w:szCs w:val="22"/>
        </w:rPr>
      </w:pPr>
      <w:r>
        <w:rPr>
          <w:rFonts w:hint="eastAsia" w:ascii="微软雅黑" w:hAnsi="微软雅黑" w:eastAsia="微软雅黑" w:cs="微软雅黑"/>
          <w:spacing w:val="-4"/>
          <w:sz w:val="22"/>
          <w:szCs w:val="22"/>
        </w:rPr>
        <w:t>（</w:t>
      </w:r>
      <w:r>
        <w:rPr>
          <w:rFonts w:ascii="微软雅黑" w:hAnsi="微软雅黑" w:eastAsia="微软雅黑" w:cs="微软雅黑"/>
          <w:spacing w:val="-4"/>
          <w:sz w:val="22"/>
          <w:szCs w:val="22"/>
        </w:rPr>
        <w:t>7</w:t>
      </w:r>
      <w:r>
        <w:rPr>
          <w:rFonts w:hint="eastAsia" w:ascii="微软雅黑" w:hAnsi="微软雅黑" w:eastAsia="微软雅黑" w:cs="微软雅黑"/>
          <w:spacing w:val="-4"/>
          <w:sz w:val="22"/>
          <w:szCs w:val="22"/>
        </w:rPr>
        <w:t>）在后期发布阶段，设计排版形成一份完整的报告，不少于</w:t>
      </w:r>
      <w:r>
        <w:rPr>
          <w:rFonts w:ascii="微软雅黑" w:hAnsi="微软雅黑" w:eastAsia="微软雅黑" w:cs="微软雅黑"/>
          <w:spacing w:val="-4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z w:val="22"/>
          <w:szCs w:val="22"/>
        </w:rPr>
        <w:t>50</w:t>
      </w:r>
      <w:r>
        <w:rPr>
          <w:rFonts w:hint="eastAsia" w:ascii="微软雅黑" w:hAnsi="微软雅黑" w:eastAsia="微软雅黑" w:cs="微软雅黑"/>
          <w:spacing w:val="-2"/>
          <w:sz w:val="22"/>
          <w:szCs w:val="22"/>
        </w:rPr>
        <w:t>页；需设计制作</w:t>
      </w:r>
      <w:r>
        <w:rPr>
          <w:rFonts w:ascii="微软雅黑" w:hAnsi="微软雅黑" w:eastAsia="微软雅黑" w:cs="微软雅黑"/>
          <w:spacing w:val="-2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2"/>
          <w:sz w:val="22"/>
          <w:szCs w:val="22"/>
        </w:rPr>
        <w:t>H5</w:t>
      </w:r>
      <w:r>
        <w:rPr>
          <w:rFonts w:hint="eastAsia" w:ascii="微软雅黑" w:hAnsi="微软雅黑" w:eastAsia="微软雅黑" w:cs="微软雅黑"/>
          <w:spacing w:val="-3"/>
          <w:sz w:val="22"/>
          <w:szCs w:val="22"/>
        </w:rPr>
        <w:t>版本，形式要新颖，活泼，具有广泛传播性。</w:t>
      </w:r>
    </w:p>
    <w:p>
      <w:pPr>
        <w:pStyle w:val="2"/>
        <w:adjustRightInd w:val="0"/>
        <w:snapToGrid w:val="0"/>
        <w:spacing w:line="276" w:lineRule="auto"/>
        <w:ind w:left="0" w:right="-35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（</w:t>
      </w:r>
      <w:r>
        <w:rPr>
          <w:rFonts w:ascii="微软雅黑" w:hAnsi="微软雅黑" w:eastAsia="微软雅黑" w:cs="微软雅黑"/>
          <w:sz w:val="22"/>
          <w:szCs w:val="22"/>
        </w:rPr>
        <w:t>8</w:t>
      </w:r>
      <w:r>
        <w:rPr>
          <w:rFonts w:hint="eastAsia" w:ascii="微软雅黑" w:hAnsi="微软雅黑" w:eastAsia="微软雅黑" w:cs="微软雅黑"/>
          <w:sz w:val="22"/>
          <w:szCs w:val="22"/>
        </w:rPr>
        <w:t>）制订发布渠道明确、提升影响力的报告的发布方案。</w:t>
      </w:r>
    </w:p>
    <w:p>
      <w:pPr>
        <w:pStyle w:val="2"/>
        <w:adjustRightInd w:val="0"/>
        <w:snapToGrid w:val="0"/>
        <w:spacing w:line="276" w:lineRule="auto"/>
        <w:ind w:left="0" w:right="-35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必须于2019年8月31日前完成发布。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1652F"/>
    <w:rsid w:val="58E16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41" w:lineRule="exact"/>
      <w:ind w:left="633"/>
    </w:pPr>
    <w:rPr>
      <w:rFonts w:ascii="Noto Sans CJK JP Regular" w:hAnsi="Noto Sans CJK JP Regular" w:cs="Noto Sans CJK JP Regular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2019-04-23T01:53:00Z</dcterms:created>
  <dc:creator>陈娟</dc:creator>
  <cp:lastModifiedBy>陈娟</cp:lastModifiedBy>
  <dcterms:modified xsi:type="dcterms:W3CDTF">2019-04-23T01:54:24Z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